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C0EA" w14:textId="414EE0EE" w:rsidR="00F0429B" w:rsidRPr="00F0429B" w:rsidRDefault="00F0429B" w:rsidP="00F0429B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F0429B">
        <w:rPr>
          <w:rFonts w:ascii="Invesco Interstate Bold" w:hAnsi="Invesco Interstate Bold"/>
          <w:b/>
          <w:bCs/>
          <w:sz w:val="28"/>
          <w:szCs w:val="28"/>
        </w:rPr>
        <w:t>Taktická alokace aktiv v dubnu 2026</w:t>
      </w:r>
      <w:r w:rsidR="00106C17">
        <w:rPr>
          <w:rFonts w:ascii="Invesco Interstate Bold" w:hAnsi="Invesco Interstate Bold"/>
          <w:b/>
          <w:bCs/>
          <w:sz w:val="28"/>
          <w:szCs w:val="28"/>
        </w:rPr>
        <w:t xml:space="preserve"> podle společnosti </w:t>
      </w:r>
      <w:proofErr w:type="spellStart"/>
      <w:r w:rsidR="00106C17"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</w:p>
    <w:p w14:paraId="337FBD6E" w14:textId="77777777" w:rsidR="00F0429B" w:rsidRPr="00F0429B" w:rsidRDefault="00F0429B" w:rsidP="00F0429B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F0429B">
        <w:rPr>
          <w:rFonts w:ascii="Invesco Interstate Bold" w:hAnsi="Invesco Interstate Bold"/>
          <w:b/>
          <w:bCs/>
          <w:sz w:val="28"/>
          <w:szCs w:val="28"/>
        </w:rPr>
        <w:t>Historicky výrazný energetický šok začíná doléhat na globální hospodářský cyklus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2E1AC118" w14:textId="41392EF1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Globální ekonomika zahájila duben poměrně příznivým výchozím nastavením. Růst se pohyboval nad dlouhodobým trendem a náladu na trzích podporovaly stále relativně uvolněné finanční podmínky. Jak jsme však </w:t>
      </w:r>
      <w:r w:rsidR="00106C1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v </w:t>
      </w:r>
      <w:proofErr w:type="spellStart"/>
      <w:r w:rsidR="00106C1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Invescu</w:t>
      </w:r>
      <w:proofErr w:type="spellEnd"/>
      <w:r w:rsidR="00106C1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</w:t>
      </w:r>
      <w:r w:rsidRPr="00F0429B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uvedli dříve, tato situace je „zranitelná“ kvůli výrazné eskalaci geopolitických rizik, zejména vůči možnosti přímého a dlouhodobého poškození energetické infrastruktury, které by narušilo globální dodávky ropy.</w:t>
      </w:r>
    </w:p>
    <w:p w14:paraId="6E7AD912" w14:textId="77777777" w:rsidR="001B0A44" w:rsidRPr="00F0429B" w:rsidRDefault="001B0A44" w:rsidP="001B0A44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C6CDC88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Od vypuknutí konfliktu na konci února vedly stupňující se útoky na klíčovou energetickou infrastrukturu, zvýšená bezpečnostní rizika v oblasti Perského zálivu a narušení hlavních dopravních tras k prudkému poklesu globální nabídky ropy. Z historického pohledu rozsah ohrožených dodávek výrazně vyčnívá ve srovnání s jinými významnými geopolitickými ropnými šoky, a to i přesto, že se odehrává v době, kdy globální ekonomická aktivita zůstává celkově odolná a nad trendem.</w:t>
      </w:r>
    </w:p>
    <w:p w14:paraId="4178F943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755182F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Analýza očekávání založená na různých scénářích ukazuje, že makroekonomické důsledky případného narušení dopravy v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Hormuzském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průlivu závisejí přinejmenším stejně na délce trvání výpadku jako na jeho počátečním rozsahu. Modelace geopoliticky vyvolaných výpadků v nabídce ropy naznačuje, že i uzavření trvající jediný kvartál — které by vyřadilo podstatnou část globálních toků ropy — může vést k výraznému růstu cen energií a citelnému zpomalení růstu reálného světového HDP. Pokud by se výpadek protáhl do druhého nebo třetího čtvrtletí, tyto dopady se dále zesilují nelineárním způsobem: ceny energií dále rostou a negativní vliv na růst přetrvává i po odeznění vrcholu omezení nabídky.</w:t>
      </w:r>
    </w:p>
    <w:p w14:paraId="55412013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8DA78E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Klíčové je, že i když se tempo růstu může po obnovení dodávek ropy znovu zrychlit, samotná úroveň ekonomické aktivity obvykle zůstává pod trajektorií před šokem. Důvodem jsou odložené investice, přísnější finanční podmínky a kumulativní dopady vyšších cen energií na poptávku.</w:t>
      </w:r>
    </w:p>
    <w:p w14:paraId="2A0DC90F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361BC51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Význam tohoto šoku navíc zdaleka nepřesahuje samotné energetické trhy. Velké výpadky v dodávkách ropy historicky působily jako daň na globální poptávku, přičemž neúměrně dopadaly na regiony závislé na dovozu ropy a zároveň omezovaly flexibilitu hospodářské politiky v době, kdy centrální banky zůstávají citlivé na inflační rizika.</w:t>
      </w:r>
    </w:p>
    <w:p w14:paraId="17823F14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Nejde přitom jen o samotnou úroveň cen energií, ale také o nejistotu ohledně délky a přetrvávání výpadků v dodávkách, která makroekonomický dopad dále zesiluje. Již samotné očekávání dlouhodobějšího narušení může negativně působit na důvěru, investice a hospodářský růst.</w:t>
      </w:r>
    </w:p>
    <w:p w14:paraId="52997B8F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ABA98F6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Rostoucí geopolitické napětí začíná doléhat na očekávání </w:t>
      </w:r>
    </w:p>
    <w:p w14:paraId="638B0622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Navzdory odolnosti ekonomiky, která zatím trvá, začíná vyšší geopolitické napětí tlačit dolů očekávání globálního růstu. Slábnoucí ochota investorů podstupovat riziko odráží naše vyváženější a defenzivnější nastavení v reakci na zvýšenou nejistotu, nikoliv zásadní obrat v samotném ekonomickém cyklu.</w:t>
      </w:r>
    </w:p>
    <w:p w14:paraId="7EA15C38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7772E6D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Na tomto pozadí nejnovější hodnoty předstihových ekonomických ukazatelů (LEI) společnosti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nadále ukazují globální ekonomiku, která zůstává celkově odolná, přičemž stabilita LEI napříč regiony přetrvává. Úrovně růstu v USA i na rozvinutých trzích mimo USA zůstávají nad trendem, podpořené odolnou domácí poptávkou a příznivou cyklickou dynamikou.</w:t>
      </w:r>
    </w:p>
    <w:p w14:paraId="5273048D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23CF0E6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Současně je však budoucí vývoj předstihových ukazatelů stále více závislý na situaci na Blízkém východě, zejména na délce trvání konfliktu, jeho řešení a dopadech na dodávky energií.</w:t>
      </w:r>
    </w:p>
    <w:p w14:paraId="25025DF1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6F29792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Přenos velkých energetických šoků do reálných ekonomických dat se obvykle projevuje se zpožděním, protože vyšší náklady, nejistota a přísnější finanční podmínky se postupně promítají do spotřeby a investic.</w:t>
      </w:r>
    </w:p>
    <w:p w14:paraId="33ADAB15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tomto prostředí vede kombinace pevných ekonomických fundamentů a ochlazujících se tržních očekávání růstu k tomu, že identifikujeme přechod do režimu zpomalování. Ten je definován spíše slábnoucí ochotou podstupovat riziko kvůli situaci na trhu než skutečným zhoršením základní ekonomické aktivity (grafy 1a, </w:t>
      </w:r>
      <w:proofErr w:type="gram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1b</w:t>
      </w:r>
      <w:proofErr w:type="gram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1c).</w:t>
      </w:r>
    </w:p>
    <w:p w14:paraId="6E984A94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88925D0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Souběžně s tím se upravila i očekávání růstu s ohledem na trh směrem dolů. Ukazatel globální ochoty investorů podstupovat riziko společnosti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od nedávných maxim citelně zpomalil, přestože předstihové ekonomické indikátory (LEI) zůstávají nad trendem. Tato kombinace odpovídá historickým přechodům z fáze expanze do zpomalování (graf 2). S tím, jak se snižuje kompenzace za růstové riziko, stávají se rizikovější aktiva stále zranitelnější vůči negativním překvapením.</w:t>
      </w:r>
    </w:p>
    <w:p w14:paraId="284BE0BE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07C6698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Rostoucí ceny energií se zároveň promítají do vyšší dynamiky inflace napříč regiony. Ukazatele inflačního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momenta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zrychlily již třetí měsíc v řadě, především v důsledku růstu cen energií (graf 3). Tento vývoj komplikuje výhled měnové politiky, zejména pro centrální banky v ekonomikách závislých na dovozu energií, kde mohou silnější krátkodobé inflační tlaky současně koexistovat se zhoršujícími se střednědobými vyhlídkami růstu.</w:t>
      </w:r>
    </w:p>
    <w:p w14:paraId="7F76267B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F789A61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Celkově tyto faktory naznačují, že globální expanze přechází do pomalejšího růstu, nikoliv tedy že by náhle končila. Přestože pozitivní scénáře — například rychlá deeskalace konfliktu a normalizace dodávek energií — by mohly znovu obnovit silnější dynamiku, eskalace geopolitických rizik přinesla výrazně nejistější prostředí. Vyšší ceny energií, přísnější finanční podmínky a zvýšená nejistota začínají doléhat na očekávání růstu, i když základní ekonomická aktivita zůstává celkově odolná.</w:t>
      </w:r>
    </w:p>
    <w:p w14:paraId="4535FF70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0C747D1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souladu s historickými přechody z expanze do zpomalování bývá tato fáze cyklu obvykle spojena s umírněnějšími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nadvýnosy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rizikových aktiv a s menším prostorem pro chybu při přeceňování růstových očekávání. V takovém prostředí se rozdíly ve výkonnosti jednotlivých aktiv obvykle zmenšují, roste citlivost na negativní překvapení a historicky se osvědčuje udržovat vyváženější strukturu portfolia, když cyklus vstupuje do nejistější fáze.</w:t>
      </w:r>
    </w:p>
    <w:p w14:paraId="532E3FF8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81AE8D4" w14:textId="77777777" w:rsidR="00F0429B" w:rsidRPr="00106C17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106C17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Investiční positioning</w:t>
      </w:r>
    </w:p>
    <w:p w14:paraId="5F3E1DDF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62E6ED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Přechody z režimu expanze do zpomalování byly historicky spojeny s mírnými, avšak obecně stále pozitivními výnosy napříč třídami aktiv, zároveň však s postupným přibližováním výkonnosti růstově citlivých a defenzivních aktiv.</w:t>
      </w:r>
    </w:p>
    <w:p w14:paraId="1C42111B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Jak se trhy přizpůsobují spíše krátkodobým očekáváním než dlouhodobým růstovým trajektoriím, kompenzace za růstové riziko má tendenci slábnout a rovnováha rizik přestává být jednoznačná. V takovém prostředí jsou výsledky portfolia zpravidla méně určovány širokou směrovou expozicí a více závisí na vyváženosti, selektivitě a flexibilitě v reakci na vyvíjející se nejistotu (grafy 4 až 7).</w:t>
      </w:r>
    </w:p>
    <w:p w14:paraId="223E9378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D96E7CA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tomto kontextu jsme v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Invescu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přešli na celkově rizikově neutrální postoj vůči benchmarku, což odráží promyšlenou reakci v oblasti řízení rizik, nikoliv posun do čistě defenzivního režimu „risk-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off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“. Toto nastavení </w:t>
      </w: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má zachovat flexibilitu portfolia, aby mohlo participovat na případné stabilizaci růstového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momenta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, a současně zůstalo odolné vůči nepříznivému vývoji.</w:t>
      </w:r>
    </w:p>
    <w:p w14:paraId="37D024F0" w14:textId="77777777" w:rsidR="00106C17" w:rsidRPr="00F0429B" w:rsidRDefault="00106C17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90114DD" w14:textId="14CD03D6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rámci tohoto přístupu nadále držíme mírné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nadvážení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akcií vůči dluhopisům, avšak s jasným důrazem na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defenzivnost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viditelnost zisků spíše než na sázku na cyklické zrychlení.</w:t>
      </w:r>
      <w:r w:rsidR="00106C1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U akcií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nadvažujeme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defenzivní faktory, jako jsou kvalita a nízká volatilita, které historicky v režimu zpomalování vykazují lepší výkonnost díky stabilnějším cash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flow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nižší citlivosti na změny růstové dynamiky.</w:t>
      </w:r>
      <w:r w:rsidR="00106C17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Na sektorové úrovni preferujeme expozice s defenzivními charakteristikami a robustními fundamenty, zejména informační technologie, zdravotnictví a sektor základního spotřebního zboží, na úkor více cyklických segmentů.</w:t>
      </w:r>
    </w:p>
    <w:p w14:paraId="62D9BF42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98A1B29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Z regionálního pohledu ponecháváme alokace v souladu s benchmarkem, protože protichůdné makroekonomické síly se nadále vzájemně vyvažují. Zatímco USA nadále vykazují nejsilnější dynamiku firemních zisků, vyšší krátkodobé úrokové sazby a pokračující pozitivní ekonomická překvapení mimo USA představují důležitou protiváhu pro mezinárodní akciové trhy.</w:t>
      </w:r>
    </w:p>
    <w:p w14:paraId="34B8A09B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240A234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 tomto prostředí proto zůstáváme neutrální vůči USA, rozvinutým trhům mimo USA i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emerging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markets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, dokud se jasněji neprojeví trvalejší sladění trendů ziskovosti, úrokových diferenciálů a růstové dynamiky.</w:t>
      </w:r>
    </w:p>
    <w:p w14:paraId="549B621B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Na měnových trzích držíme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podváženou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expozici vůči americkému dolaru, což odráží vyšší a dále rostoucí krátkodobé sazby mimo USA spolu s pokračujícími pozitivními ekonomickými překvapeními v několika neamerických ekonomikách.</w:t>
      </w:r>
    </w:p>
    <w:p w14:paraId="66271CDF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80F8F01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V rámci rozvinutých trhů preferujeme euro, kanadský dolar, norskou korunu, singapurský dolar a japonský jen vůči švýcarskému franku, britské libře, švédské koruně, novozélandskému a australskému dolaru.</w:t>
      </w:r>
    </w:p>
    <w:p w14:paraId="37EE1A77" w14:textId="77777777" w:rsidR="00F0429B" w:rsidRP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Na rozvíjejících se trzích preferujeme měny s vyšším výnosem a atraktivním oceněním, včetně kolumbijského pesa, brazilského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realu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indické rupie a tchajwanského dolaru, oproti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nízkovýnosovým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či dražším měnám, jako jsou jihoafrický rand, mexické peso, česká koruna a jihokorejský </w:t>
      </w:r>
      <w:proofErr w:type="spellStart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won</w:t>
      </w:r>
      <w:proofErr w:type="spellEnd"/>
      <w:r w:rsidRPr="00F0429B">
        <w:rPr>
          <w:rFonts w:ascii="Invesco Interstate Light" w:eastAsia="MS Mincho" w:hAnsi="Invesco Interstate Light"/>
          <w:sz w:val="22"/>
          <w:szCs w:val="22"/>
          <w:lang w:eastAsia="ja-JP"/>
        </w:rPr>
        <w:t>.</w:t>
      </w:r>
    </w:p>
    <w:p w14:paraId="447A1FCC" w14:textId="77777777" w:rsidR="00F0429B" w:rsidRDefault="00F0429B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68B3629" w14:textId="0B9DDD11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lastRenderedPageBreak/>
        <w:drawing>
          <wp:inline distT="0" distB="0" distL="0" distR="0" wp14:anchorId="7F623217" wp14:editId="20A4FCA4">
            <wp:extent cx="5006340" cy="3032760"/>
            <wp:effectExtent l="0" t="0" r="3810" b="0"/>
            <wp:docPr id="16019483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48346" name="Obrázek 16019483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51AFB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A3CD518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69A995F2" wp14:editId="7717EAF5">
            <wp:extent cx="6108065" cy="1418590"/>
            <wp:effectExtent l="0" t="0" r="6985" b="0"/>
            <wp:docPr id="8434522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52264" name="Obrázek 843452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872B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4766C07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5B5C736E" wp14:editId="6B9DB036">
            <wp:extent cx="5044440" cy="2567940"/>
            <wp:effectExtent l="0" t="0" r="3810" b="3810"/>
            <wp:docPr id="195122302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223029" name="Obrázek 195122302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675B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F62398A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lastRenderedPageBreak/>
        <w:drawing>
          <wp:inline distT="0" distB="0" distL="0" distR="0" wp14:anchorId="31C651E0" wp14:editId="2C35ADEB">
            <wp:extent cx="5052060" cy="2865120"/>
            <wp:effectExtent l="0" t="0" r="0" b="0"/>
            <wp:docPr id="7341807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8073" name="Obrázek 734180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22D70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A962812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4058812B" wp14:editId="1B7E0786">
            <wp:extent cx="5158740" cy="2545080"/>
            <wp:effectExtent l="0" t="0" r="3810" b="7620"/>
            <wp:docPr id="8482592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5922" name="Obrázek 8482592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D99A0" w14:textId="779B356A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5E23D1" w14:textId="7777777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50624137" wp14:editId="4CF3558D">
            <wp:extent cx="5105400" cy="1859280"/>
            <wp:effectExtent l="0" t="0" r="0" b="7620"/>
            <wp:docPr id="123218722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87229" name="Obrázek 123218722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C732" w14:textId="036E2D07" w:rsidR="00106142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lastRenderedPageBreak/>
        <w:drawing>
          <wp:inline distT="0" distB="0" distL="0" distR="0" wp14:anchorId="4B9E26FB" wp14:editId="2E25F311">
            <wp:extent cx="5250180" cy="2804160"/>
            <wp:effectExtent l="0" t="0" r="7620" b="0"/>
            <wp:docPr id="133473055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30555" name="Obrázek 133473055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B8DAF" w14:textId="2490D25C" w:rsidR="00106142" w:rsidRPr="00F0429B" w:rsidRDefault="00106142" w:rsidP="00F042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noProof/>
          <w:sz w:val="22"/>
          <w:szCs w:val="22"/>
          <w:lang w:eastAsia="ja-JP"/>
        </w:rPr>
        <w:drawing>
          <wp:inline distT="0" distB="0" distL="0" distR="0" wp14:anchorId="1F6B3BA5" wp14:editId="00EA9BC9">
            <wp:extent cx="5173980" cy="2910840"/>
            <wp:effectExtent l="0" t="0" r="7620" b="3810"/>
            <wp:docPr id="189609470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94709" name="Obrázek 189609470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D2A7" w14:textId="77777777" w:rsidR="00D67D74" w:rsidRDefault="00D67D74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0FD8BE95" w14:textId="77777777" w:rsidR="00106C17" w:rsidRDefault="00106C17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648B2040" w14:textId="77777777" w:rsidR="00106C17" w:rsidRDefault="00106C17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519C9136" w14:textId="77777777" w:rsidR="00106C17" w:rsidRDefault="00106C17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48612385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lastRenderedPageBreak/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9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20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1CD7" w14:textId="77777777" w:rsidR="00266ACC" w:rsidRDefault="00266ACC">
      <w:r>
        <w:separator/>
      </w:r>
    </w:p>
  </w:endnote>
  <w:endnote w:type="continuationSeparator" w:id="0">
    <w:p w14:paraId="0ACE545F" w14:textId="77777777" w:rsidR="00266ACC" w:rsidRDefault="00266ACC">
      <w:r>
        <w:continuationSeparator/>
      </w:r>
    </w:p>
  </w:endnote>
  <w:endnote w:type="continuationNotice" w:id="1">
    <w:p w14:paraId="725C4158" w14:textId="77777777" w:rsidR="00266ACC" w:rsidRDefault="00266A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028A" w14:textId="77777777" w:rsidR="00266ACC" w:rsidRDefault="00266ACC">
      <w:r>
        <w:separator/>
      </w:r>
    </w:p>
  </w:footnote>
  <w:footnote w:type="continuationSeparator" w:id="0">
    <w:p w14:paraId="7F72FE8A" w14:textId="77777777" w:rsidR="00266ACC" w:rsidRDefault="00266ACC">
      <w:r>
        <w:continuationSeparator/>
      </w:r>
    </w:p>
  </w:footnote>
  <w:footnote w:type="continuationNotice" w:id="1">
    <w:p w14:paraId="6BDD1CE3" w14:textId="77777777" w:rsidR="00266ACC" w:rsidRDefault="00266A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5075DE3E" w:rsidR="00702C33" w:rsidRPr="000730A6" w:rsidRDefault="00F0429B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106142">
      <w:rPr>
        <w:color w:val="000000"/>
        <w:sz w:val="28"/>
        <w:szCs w:val="28"/>
      </w:rPr>
      <w:t>5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4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5380B"/>
    <w:multiLevelType w:val="multilevel"/>
    <w:tmpl w:val="11820CCE"/>
    <w:numStyleLink w:val="FormatvorlageAufgezhlt"/>
  </w:abstractNum>
  <w:abstractNum w:abstractNumId="35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4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0"/>
  </w:num>
  <w:num w:numId="14" w16cid:durableId="2009676695">
    <w:abstractNumId w:val="41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8"/>
  </w:num>
  <w:num w:numId="21" w16cid:durableId="225343112">
    <w:abstractNumId w:val="36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39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5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7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142"/>
    <w:rsid w:val="0010628B"/>
    <w:rsid w:val="00106C17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AC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1F6A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456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7DE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C5E"/>
    <w:rsid w:val="00D61CF1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429B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1DDB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hyperlink" Target="mailto:eliska.kroh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1446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</cp:lastModifiedBy>
  <cp:revision>2</cp:revision>
  <cp:lastPrinted>2021-02-17T20:24:00Z</cp:lastPrinted>
  <dcterms:created xsi:type="dcterms:W3CDTF">2026-04-15T08:22:00Z</dcterms:created>
  <dcterms:modified xsi:type="dcterms:W3CDTF">2026-04-15T08:22:00Z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